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广州市中小学教师继续教育网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  <w:lang w:eastAsia="zh-CN"/>
        </w:rPr>
        <w:t>校外机构教师</w:t>
      </w:r>
      <w:r>
        <w:rPr>
          <w:b/>
          <w:bCs/>
          <w:sz w:val="44"/>
          <w:szCs w:val="44"/>
        </w:rPr>
        <w:t>培训</w:t>
      </w:r>
      <w:r>
        <w:rPr>
          <w:rFonts w:hint="eastAsia"/>
          <w:b/>
          <w:bCs/>
          <w:sz w:val="44"/>
          <w:szCs w:val="44"/>
        </w:rPr>
        <w:t>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jc w:val="center"/>
        <w:rPr>
          <w:rFonts w:hint="eastAsia" w:ascii="楷体_GB2312" w:hAnsi="楷体_GB2312" w:eastAsia="楷体_GB2312" w:cs="楷体_GB2312"/>
          <w:sz w:val="28"/>
          <w:szCs w:val="28"/>
        </w:rPr>
      </w:pPr>
      <w:r>
        <w:rPr>
          <w:rFonts w:hint="eastAsia" w:ascii="楷体_GB2312" w:hAnsi="楷体_GB2312" w:eastAsia="楷体_GB2312" w:cs="楷体_GB2312"/>
          <w:sz w:val="28"/>
          <w:szCs w:val="28"/>
        </w:rPr>
        <w:t>（</w:t>
      </w:r>
      <w:r>
        <w:rPr>
          <w:rFonts w:hint="eastAsia" w:ascii="楷体_GB2312" w:hAnsi="楷体_GB2312" w:eastAsia="楷体_GB2312" w:cs="楷体_GB2312"/>
          <w:sz w:val="28"/>
          <w:szCs w:val="28"/>
          <w:lang w:eastAsia="zh-CN"/>
        </w:rPr>
        <w:t>校外机构教师</w:t>
      </w:r>
      <w:r>
        <w:rPr>
          <w:rFonts w:hint="eastAsia" w:ascii="楷体_GB2312" w:hAnsi="楷体_GB2312" w:eastAsia="楷体_GB2312" w:cs="楷体_GB2312"/>
          <w:sz w:val="28"/>
          <w:szCs w:val="28"/>
        </w:rPr>
        <w:t>专用）</w:t>
      </w:r>
    </w:p>
    <w:p>
      <w:pPr>
        <w:jc w:val="center"/>
        <w:rPr>
          <w:rFonts w:hint="eastAsia"/>
          <w:b/>
          <w:sz w:val="36"/>
          <w:szCs w:val="36"/>
        </w:rPr>
      </w:pPr>
    </w:p>
    <w:p>
      <w:pPr>
        <w:jc w:val="center"/>
        <w:rPr>
          <w:rFonts w:hint="eastAsia"/>
          <w:b/>
          <w:sz w:val="36"/>
          <w:szCs w:val="36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广州市教师远程培训中心</w:t>
      </w:r>
    </w:p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二〇二〇年</w:t>
      </w:r>
      <w:r>
        <w:rPr>
          <w:rFonts w:hint="eastAsia"/>
          <w:b/>
          <w:sz w:val="36"/>
          <w:szCs w:val="36"/>
          <w:lang w:val="en-US" w:eastAsia="zh-CN"/>
        </w:rPr>
        <w:t>二</w:t>
      </w:r>
      <w:r>
        <w:rPr>
          <w:rFonts w:hint="eastAsia"/>
          <w:b/>
          <w:sz w:val="36"/>
          <w:szCs w:val="36"/>
        </w:rPr>
        <w:t>月</w:t>
      </w:r>
    </w:p>
    <w:p/>
    <w:p/>
    <w:p/>
    <w:p/>
    <w:p/>
    <w:p/>
    <w:p>
      <w:pPr>
        <w:pStyle w:val="3"/>
        <w:numPr>
          <w:ilvl w:val="0"/>
          <w:numId w:val="1"/>
        </w:numPr>
        <w:spacing w:line="480" w:lineRule="auto"/>
        <w:ind w:firstLineChars="0"/>
        <w:jc w:val="center"/>
        <w:outlineLvl w:val="0"/>
        <w:rPr>
          <w:rFonts w:hint="eastAsia"/>
          <w:b/>
          <w:bCs/>
          <w:sz w:val="36"/>
          <w:szCs w:val="36"/>
        </w:rPr>
      </w:pPr>
      <w:bookmarkStart w:id="0" w:name="_Toc20302"/>
      <w:bookmarkStart w:id="1" w:name="_Toc5758"/>
      <w:bookmarkStart w:id="2" w:name="_Toc18288"/>
      <w:bookmarkStart w:id="3" w:name="_Toc24047"/>
      <w:bookmarkStart w:id="4" w:name="_Toc27996"/>
      <w:bookmarkStart w:id="5" w:name="_Toc11292"/>
      <w:bookmarkStart w:id="6" w:name="_Toc26429"/>
      <w:bookmarkStart w:id="7" w:name="_Toc15788"/>
      <w:bookmarkStart w:id="8" w:name="_Toc12456"/>
      <w:bookmarkStart w:id="9" w:name="_Toc16951"/>
      <w:bookmarkStart w:id="10" w:name="_Toc13980"/>
      <w:r>
        <w:rPr>
          <w:rFonts w:hint="eastAsia"/>
          <w:b/>
          <w:bCs/>
          <w:sz w:val="36"/>
          <w:szCs w:val="36"/>
          <w:lang w:eastAsia="zh-CN"/>
        </w:rPr>
        <w:t>学员平台</w:t>
      </w:r>
      <w:bookmarkEnd w:id="0"/>
      <w:bookmarkEnd w:id="1"/>
    </w:p>
    <w:p>
      <w:pPr>
        <w:pStyle w:val="3"/>
        <w:numPr>
          <w:ilvl w:val="0"/>
          <w:numId w:val="2"/>
        </w:numPr>
        <w:spacing w:line="480" w:lineRule="auto"/>
        <w:ind w:firstLineChars="0"/>
        <w:outlineLvl w:val="1"/>
        <w:rPr>
          <w:rFonts w:hint="eastAsia"/>
          <w:b/>
          <w:sz w:val="24"/>
          <w:szCs w:val="24"/>
        </w:rPr>
      </w:pPr>
      <w:bookmarkStart w:id="11" w:name="_Toc12900"/>
      <w:bookmarkStart w:id="12" w:name="_Toc18001"/>
      <w:r>
        <w:rPr>
          <w:rFonts w:hint="eastAsia"/>
          <w:b/>
          <w:sz w:val="24"/>
          <w:szCs w:val="24"/>
          <w:lang w:eastAsia="zh-CN"/>
        </w:rPr>
        <w:t>学员</w:t>
      </w:r>
      <w:r>
        <w:rPr>
          <w:rFonts w:hint="eastAsia"/>
          <w:b/>
          <w:sz w:val="24"/>
          <w:szCs w:val="24"/>
        </w:rPr>
        <w:t>平台首页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57" w:firstLine="44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2"/>
          <w:szCs w:val="22"/>
        </w:rPr>
        <w:t>登录广州市中小学教师继续教育网http://www.gzteacher.com/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，门户输入个人账号、密码，进入“个人中心”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kern w:val="2"/>
          <w:sz w:val="21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6540" cy="2426970"/>
            <wp:effectExtent l="0" t="0" r="16510" b="11430"/>
            <wp:docPr id="2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广州市中小教师继续教育网</w:t>
      </w:r>
      <w:r>
        <w:rPr>
          <w:rFonts w:hint="eastAsia" w:ascii="宋体" w:hAnsi="宋体" w:cs="宋体"/>
          <w:kern w:val="2"/>
          <w:sz w:val="22"/>
          <w:szCs w:val="22"/>
          <w:lang w:val="en-US" w:eastAsia="zh-CN" w:bidi="ar-SA"/>
        </w:rPr>
        <w:t>机构</w:t>
      </w: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外机构教师个人学习平台，功能模块具体分成9大部分：</w:t>
      </w:r>
    </w:p>
    <w:p>
      <w:pPr>
        <w:pStyle w:val="3"/>
        <w:spacing w:line="480" w:lineRule="auto"/>
        <w:rPr>
          <w:rFonts w:hint="eastAsia"/>
          <w:bCs/>
        </w:rPr>
      </w:pPr>
      <w:r>
        <w:drawing>
          <wp:inline distT="0" distB="0" distL="114300" distR="114300">
            <wp:extent cx="5269230" cy="2766695"/>
            <wp:effectExtent l="0" t="0" r="7620" b="146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Cs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①信息类快捷方式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61975" cy="52387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2"/>
          <w:szCs w:val="22"/>
        </w:rPr>
        <w:t>可查看“我的待办任务”。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图标：</w:t>
      </w:r>
      <w:r>
        <w:rPr>
          <w:rFonts w:hint="eastAsia" w:ascii="宋体" w:hAnsi="宋体" w:eastAsia="宋体" w:cs="宋体"/>
          <w:bCs/>
          <w:sz w:val="22"/>
          <w:szCs w:val="22"/>
        </w:rPr>
        <w:drawing>
          <wp:inline distT="0" distB="0" distL="114300" distR="114300">
            <wp:extent cx="400050" cy="3810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2"/>
          <w:szCs w:val="22"/>
        </w:rPr>
        <w:t>可查看学员、管理员等发放的“我的消息”。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图标：</w:t>
      </w:r>
      <w:r>
        <w:rPr>
          <w:rFonts w:hint="eastAsia" w:ascii="宋体" w:hAnsi="宋体" w:eastAsia="宋体" w:cs="宋体"/>
          <w:bCs/>
          <w:sz w:val="22"/>
          <w:szCs w:val="22"/>
        </w:rPr>
        <w:drawing>
          <wp:inline distT="0" distB="0" distL="114300" distR="114300">
            <wp:extent cx="485775" cy="390525"/>
            <wp:effectExtent l="0" t="0" r="9525" b="952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2"/>
          <w:szCs w:val="22"/>
        </w:rPr>
        <w:t>可查看到当前期学员的报读培训的情况，例如已选的课程学时等。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图标：</w:t>
      </w:r>
      <w:r>
        <w:rPr>
          <w:rFonts w:hint="eastAsia" w:ascii="宋体" w:hAnsi="宋体" w:eastAsia="宋体" w:cs="宋体"/>
          <w:bCs/>
          <w:sz w:val="22"/>
          <w:szCs w:val="2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Cs/>
          <w:sz w:val="22"/>
          <w:szCs w:val="22"/>
          <w:lang w:eastAsia="zh-CN"/>
        </w:rPr>
        <w:drawing>
          <wp:inline distT="0" distB="0" distL="114300" distR="114300">
            <wp:extent cx="299085" cy="299085"/>
            <wp:effectExtent l="0" t="0" r="5715" b="5715"/>
            <wp:docPr id="2" name="图片 2" descr="user_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ser_he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sz w:val="22"/>
          <w:szCs w:val="2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2"/>
          <w:szCs w:val="22"/>
        </w:rPr>
        <w:t>此头像图标点击可进行个人信息的查看和修改。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bookmarkStart w:id="13" w:name="_Toc736"/>
      <w:bookmarkStart w:id="14" w:name="_Toc17666"/>
      <w:bookmarkStart w:id="15" w:name="_Toc23299"/>
      <w:r>
        <w:rPr>
          <w:rFonts w:hint="eastAsia" w:ascii="宋体" w:hAnsi="宋体" w:eastAsia="宋体" w:cs="宋体"/>
          <w:bCs/>
          <w:sz w:val="22"/>
          <w:szCs w:val="22"/>
        </w:rPr>
        <w:t>②选课/学习以及达标信息查看</w:t>
      </w:r>
      <w:bookmarkEnd w:id="13"/>
      <w:bookmarkEnd w:id="14"/>
      <w:bookmarkEnd w:id="1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1371600" cy="1371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或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1524000" cy="1362075"/>
            <wp:effectExtent l="0" t="0" r="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在选课或学习有效期间，可查看选课或学习时间截止倒计时，点击可直接跳转至选课中心进行选课或跳转至学习中心进行学习。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1485900" cy="1362075"/>
            <wp:effectExtent l="0" t="0" r="0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可查看到学员年度获得学习的学时情况，点击可弹出具体的年度学时需求和学员在读、已获得学时的具体情况。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bookmarkStart w:id="16" w:name="_Toc17036"/>
      <w:bookmarkStart w:id="17" w:name="_Toc14342"/>
      <w:bookmarkStart w:id="18" w:name="_Toc24931"/>
      <w:r>
        <w:rPr>
          <w:rFonts w:hint="eastAsia" w:ascii="宋体" w:hAnsi="宋体" w:eastAsia="宋体" w:cs="宋体"/>
          <w:bCs/>
          <w:sz w:val="22"/>
          <w:szCs w:val="22"/>
        </w:rPr>
        <w:t>③学员查看通知公告</w:t>
      </w:r>
      <w:bookmarkEnd w:id="16"/>
      <w:bookmarkEnd w:id="17"/>
      <w:bookmarkEnd w:id="1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33400" cy="3048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点击图标，会下拉出学员平台的通知、公告。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④个人信息修改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314325" cy="285750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点击图标可跳转至学员信息页进行个人信息的修改，与①中的第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四</w:t>
      </w:r>
      <w:r>
        <w:rPr>
          <w:rFonts w:hint="eastAsia" w:ascii="宋体" w:hAnsi="宋体" w:eastAsia="宋体" w:cs="宋体"/>
          <w:sz w:val="22"/>
          <w:szCs w:val="22"/>
        </w:rPr>
        <w:t>小点位置相同。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⑤主要使用栏目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781050" cy="581025"/>
            <wp:effectExtent l="0" t="0" r="0" b="952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点击“首页”图标可以返回学员个人中心首页。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752475" cy="628650"/>
            <wp:effectExtent l="0" t="0" r="9525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点击“课程超市”图标可以跳转至选课中心。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828675" cy="666750"/>
            <wp:effectExtent l="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点击“学习中心”图标可以跳转至学习中心，可以查看正在学习的市级、区级等课程。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762000" cy="62865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点击“我的档案”图标可查看学员“学习结果查询”、“专项培训记录”、“学时申报”、“年度学时查询”、“周期学时查询”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762000" cy="60007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点击“缴费管理”图标可跳转至缴费管理页面，可查询“缴费记录查询”和“个人缴费通知书管理”。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781050" cy="600075"/>
            <wp:effectExtent l="0" t="0" r="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点击“研修社区”图标可跳转至网络研修社区的专题页面，参加相应的网络研修活动。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⑥我的学习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bCs/>
          <w:sz w:val="22"/>
          <w:szCs w:val="22"/>
          <w:lang w:eastAsia="zh-CN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2295525" cy="695325"/>
            <wp:effectExtent l="0" t="0" r="9525" b="9525"/>
            <wp:docPr id="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点击“课程超市”可选课报读。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2599690" cy="838200"/>
            <wp:effectExtent l="0" t="0" r="1016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点击“去学习”可直接跳转至学员的学习中心进行远程课程的学习。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⑦我的研修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2524125" cy="68580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点击“去研修”可跳转至网络研修社区进行网络研修活动，能力提升工程的“数字化学习环境下的学习组织与评价”系列课程就在此进入学习。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⑧关注我们</w:t>
      </w:r>
      <w:r>
        <w:rPr>
          <w:rFonts w:hint="eastAsia" w:ascii="宋体" w:hAnsi="宋体" w:eastAsia="宋体" w:cs="宋体"/>
          <w:sz w:val="22"/>
          <w:szCs w:val="22"/>
        </w:rPr>
        <w:br w:type="textWrapping"/>
      </w:r>
      <w:r>
        <w:rPr>
          <w:rFonts w:hint="eastAsia" w:ascii="宋体" w:hAnsi="宋体" w:eastAsia="宋体" w:cs="宋体"/>
          <w:sz w:val="22"/>
          <w:szCs w:val="22"/>
        </w:rPr>
        <w:t xml:space="preserve">  1）图标：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476250" cy="447675"/>
            <wp:effectExtent l="0" t="0" r="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鼠标移至此图标上出现二维码可以下载继教网学习客户端。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20" w:firstLineChars="1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2）图标：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476250" cy="485775"/>
            <wp:effectExtent l="0" t="0" r="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点击“新版指引”按钮可查看新版个人中心的平台介绍。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bCs/>
          <w:sz w:val="22"/>
          <w:szCs w:val="2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bookmarkStart w:id="19" w:name="_Toc22318"/>
      <w:bookmarkStart w:id="20" w:name="_Toc32717"/>
      <w:bookmarkStart w:id="21" w:name="_Toc28467"/>
      <w:r>
        <w:rPr>
          <w:rFonts w:hint="eastAsia" w:ascii="宋体" w:hAnsi="宋体" w:eastAsia="宋体" w:cs="宋体"/>
          <w:bCs/>
          <w:sz w:val="22"/>
          <w:szCs w:val="22"/>
        </w:rPr>
        <w:t>⑨在线客服</w:t>
      </w:r>
      <w:bookmarkEnd w:id="19"/>
      <w:bookmarkEnd w:id="20"/>
      <w:bookmarkEnd w:id="2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2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/>
          <w:sz w:val="22"/>
          <w:szCs w:val="22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</w:rPr>
        <w:t>图标：</w:t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2009775" cy="1781175"/>
            <wp:effectExtent l="0" t="0" r="9525" b="9525"/>
            <wp:docPr id="151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t>点击可以直接与平台在线客服进行问题反馈。</w:t>
      </w:r>
    </w:p>
    <w:p>
      <w:pPr>
        <w:pStyle w:val="3"/>
        <w:numPr>
          <w:ilvl w:val="0"/>
          <w:numId w:val="2"/>
        </w:numPr>
        <w:spacing w:line="480" w:lineRule="auto"/>
        <w:ind w:firstLineChars="0"/>
        <w:outlineLvl w:val="1"/>
        <w:rPr>
          <w:rFonts w:hint="eastAsia"/>
          <w:b/>
          <w:sz w:val="24"/>
          <w:szCs w:val="24"/>
        </w:rPr>
      </w:pPr>
      <w:bookmarkStart w:id="22" w:name="_Toc10171"/>
      <w:bookmarkStart w:id="23" w:name="_Toc20083"/>
      <w:bookmarkStart w:id="24" w:name="_Toc12647"/>
      <w:bookmarkStart w:id="25" w:name="_Toc14247"/>
      <w:bookmarkStart w:id="26" w:name="_Toc26561"/>
      <w:bookmarkStart w:id="27" w:name="_Toc8895"/>
      <w:bookmarkStart w:id="28" w:name="_Toc10432"/>
      <w:bookmarkStart w:id="29" w:name="_Toc29315"/>
      <w:bookmarkStart w:id="30" w:name="_Toc12175"/>
      <w:bookmarkStart w:id="31" w:name="_Toc22623"/>
      <w:bookmarkStart w:id="32" w:name="_Toc17225"/>
      <w:r>
        <w:rPr>
          <w:rFonts w:hint="eastAsia"/>
          <w:b/>
          <w:sz w:val="24"/>
          <w:szCs w:val="24"/>
        </w:rPr>
        <w:t>课程超市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课程超市栏目常规有</w:t>
      </w:r>
      <w:r>
        <w:rPr>
          <w:rFonts w:hint="eastAsia" w:ascii="宋体" w:hAnsi="宋体" w:eastAsia="宋体" w:cs="宋体"/>
          <w:bCs/>
          <w:sz w:val="22"/>
          <w:szCs w:val="22"/>
          <w:lang w:eastAsia="zh-CN"/>
        </w:rPr>
        <w:t>二</w:t>
      </w:r>
      <w:r>
        <w:rPr>
          <w:rFonts w:hint="eastAsia" w:ascii="宋体" w:hAnsi="宋体" w:eastAsia="宋体" w:cs="宋体"/>
          <w:bCs/>
          <w:sz w:val="22"/>
          <w:szCs w:val="22"/>
        </w:rPr>
        <w:t>个板块：推荐课程、全员培训课程。</w:t>
      </w:r>
    </w:p>
    <w:p>
      <w:pPr>
        <w:spacing w:line="360" w:lineRule="auto"/>
        <w:rPr>
          <w:rFonts w:hint="eastAsia"/>
          <w:bCs/>
          <w:szCs w:val="21"/>
        </w:rPr>
      </w:pPr>
      <w:r>
        <w:drawing>
          <wp:inline distT="0" distB="0" distL="114300" distR="114300">
            <wp:extent cx="5274310" cy="2323465"/>
            <wp:effectExtent l="0" t="0" r="2540" b="63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outlineLvl w:val="2"/>
        <w:rPr>
          <w:rFonts w:hint="eastAsia" w:ascii="Cambria" w:hAnsi="Cambria" w:eastAsia="宋体"/>
          <w:b/>
          <w:bCs/>
          <w:kern w:val="2"/>
          <w:sz w:val="21"/>
          <w:szCs w:val="21"/>
          <w:lang w:val="en-US" w:eastAsia="zh-CN" w:bidi="ar-SA"/>
        </w:rPr>
      </w:pPr>
      <w:bookmarkStart w:id="33" w:name="_Toc19787"/>
      <w:bookmarkStart w:id="34" w:name="_Toc11790"/>
      <w:bookmarkStart w:id="35" w:name="_Toc4315"/>
      <w:bookmarkStart w:id="36" w:name="_Toc3189"/>
      <w:bookmarkStart w:id="37" w:name="_Toc13663"/>
      <w:bookmarkStart w:id="38" w:name="_Toc31967"/>
      <w:bookmarkStart w:id="39" w:name="_Toc11285"/>
      <w:bookmarkStart w:id="40" w:name="_Toc3006"/>
      <w:bookmarkStart w:id="41" w:name="_Toc21025"/>
      <w:r>
        <w:rPr>
          <w:rFonts w:hint="eastAsia" w:ascii="Cambria" w:hAnsi="Cambria" w:eastAsia="宋体"/>
          <w:b/>
          <w:bCs/>
          <w:kern w:val="2"/>
          <w:sz w:val="21"/>
          <w:szCs w:val="21"/>
          <w:lang w:val="en-US" w:eastAsia="zh-CN" w:bidi="ar-SA"/>
        </w:rPr>
        <w:t>推荐课程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numPr>
          <w:ilvl w:val="0"/>
          <w:numId w:val="0"/>
        </w:numPr>
        <w:ind w:firstLine="440" w:firstLineChars="200"/>
        <w:outlineLvl w:val="9"/>
        <w:rPr>
          <w:rFonts w:hint="eastAsia" w:ascii="宋体" w:hAnsi="宋体" w:eastAsia="宋体" w:cs="宋体"/>
          <w:bCs/>
          <w:sz w:val="22"/>
          <w:szCs w:val="22"/>
        </w:rPr>
      </w:pPr>
      <w:r>
        <w:rPr>
          <w:rFonts w:hint="eastAsia" w:ascii="宋体" w:hAnsi="宋体" w:eastAsia="宋体" w:cs="宋体"/>
          <w:bCs/>
          <w:sz w:val="22"/>
          <w:szCs w:val="22"/>
        </w:rPr>
        <w:t>“推荐课程”栏目，系统按照您的继教学时情况，根据您的学科和学段情况，智能为您推荐5-8门课程。</w:t>
      </w:r>
    </w:p>
    <w:p>
      <w:pPr>
        <w:rPr>
          <w:rFonts w:hint="eastAsia" w:ascii="宋体" w:hAnsi="宋体" w:cs="宋体"/>
          <w:kern w:val="0"/>
          <w:szCs w:val="21"/>
        </w:rPr>
      </w:pPr>
      <w:r>
        <w:drawing>
          <wp:inline distT="0" distB="0" distL="114300" distR="114300">
            <wp:extent cx="5272405" cy="2108835"/>
            <wp:effectExtent l="0" t="0" r="4445" b="5715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0" w:firstLineChars="0"/>
        <w:outlineLvl w:val="2"/>
        <w:rPr>
          <w:rFonts w:hint="eastAsia"/>
          <w:sz w:val="21"/>
          <w:szCs w:val="21"/>
        </w:rPr>
      </w:pPr>
      <w:bookmarkStart w:id="42" w:name="_Toc23600"/>
      <w:bookmarkStart w:id="43" w:name="_Toc8587"/>
      <w:bookmarkStart w:id="44" w:name="_Toc26134"/>
      <w:bookmarkStart w:id="45" w:name="_Toc31150"/>
      <w:bookmarkStart w:id="46" w:name="_Toc30863"/>
      <w:bookmarkStart w:id="47" w:name="_Toc24963"/>
      <w:bookmarkStart w:id="48" w:name="_Toc21813"/>
      <w:bookmarkStart w:id="49" w:name="_Toc13199"/>
      <w:bookmarkStart w:id="50" w:name="_Toc25899"/>
      <w:r>
        <w:rPr>
          <w:rFonts w:hint="eastAsia"/>
          <w:sz w:val="21"/>
          <w:szCs w:val="21"/>
        </w:rPr>
        <w:t>全员培训课程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全员培训课程栏目，可以查询报读所有市级全员培训课程。教师可以按照课程的各种条件进行刷选，选择最适合自己的课程，课程筛选条件包括：学时类型，学时区间，学科类别，学段选课，学习终端，同学科老师报读课程，最新上线，好评，热门。点击课程名称，即可查看课程详细信息，点击图片，课程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右</w:t>
      </w:r>
      <w:r>
        <w:rPr>
          <w:rFonts w:hint="eastAsia" w:ascii="宋体" w:hAnsi="宋体" w:eastAsia="宋体" w:cs="宋体"/>
          <w:sz w:val="22"/>
          <w:szCs w:val="22"/>
        </w:rPr>
        <w:t>上方会出现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绿色</w:t>
      </w:r>
      <w:r>
        <w:rPr>
          <w:rFonts w:hint="eastAsia" w:ascii="宋体" w:hAnsi="宋体" w:eastAsia="宋体" w:cs="宋体"/>
          <w:sz w:val="22"/>
          <w:szCs w:val="22"/>
        </w:rPr>
        <w:t>小钩，点击上方确定选课，就可以成功选课，教师可以在网页上方导航条的“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我的课单</w:t>
      </w:r>
      <w:r>
        <w:rPr>
          <w:rFonts w:hint="eastAsia" w:ascii="宋体" w:hAnsi="宋体" w:eastAsia="宋体" w:cs="宋体"/>
          <w:sz w:val="22"/>
          <w:szCs w:val="22"/>
        </w:rPr>
        <w:t>”进口，查询已经选读的课程。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3121660"/>
            <wp:effectExtent l="0" t="0" r="4445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480" w:lineRule="auto"/>
        <w:ind w:firstLineChars="0"/>
        <w:outlineLvl w:val="1"/>
        <w:rPr>
          <w:rFonts w:hint="eastAsia"/>
          <w:b/>
          <w:sz w:val="24"/>
          <w:szCs w:val="24"/>
        </w:rPr>
      </w:pPr>
      <w:bookmarkStart w:id="51" w:name="_Toc8818"/>
      <w:bookmarkStart w:id="52" w:name="_Toc7291"/>
      <w:bookmarkStart w:id="53" w:name="_Toc24311"/>
      <w:bookmarkStart w:id="54" w:name="_Toc8498"/>
      <w:bookmarkStart w:id="55" w:name="_Toc26386"/>
      <w:bookmarkStart w:id="56" w:name="_Toc20965"/>
      <w:bookmarkStart w:id="57" w:name="_Toc5319"/>
      <w:bookmarkStart w:id="58" w:name="_Toc6251"/>
      <w:bookmarkStart w:id="59" w:name="_Toc23478"/>
      <w:bookmarkStart w:id="60" w:name="_Toc9291"/>
      <w:bookmarkStart w:id="61" w:name="_Toc12194"/>
      <w:r>
        <w:rPr>
          <w:rFonts w:hint="eastAsia"/>
          <w:b/>
          <w:sz w:val="24"/>
          <w:szCs w:val="24"/>
        </w:rPr>
        <w:t>我的档案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我的档案，可查询学习结果，专项培训记录，学时申报，年度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学时查询</w:t>
      </w:r>
      <w:r>
        <w:rPr>
          <w:rFonts w:hint="eastAsia" w:ascii="宋体" w:hAnsi="宋体" w:eastAsia="宋体" w:cs="宋体"/>
          <w:sz w:val="22"/>
          <w:szCs w:val="22"/>
        </w:rPr>
        <w:t>，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年度验证结果，</w:t>
      </w:r>
      <w:r>
        <w:rPr>
          <w:rFonts w:hint="eastAsia" w:ascii="宋体" w:hAnsi="宋体" w:eastAsia="宋体" w:cs="宋体"/>
          <w:sz w:val="22"/>
          <w:szCs w:val="22"/>
        </w:rPr>
        <w:t>周期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学时查询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pStyle w:val="2"/>
        <w:numPr>
          <w:ilvl w:val="0"/>
          <w:numId w:val="4"/>
        </w:numPr>
        <w:ind w:leftChars="0"/>
        <w:outlineLvl w:val="2"/>
        <w:rPr>
          <w:rFonts w:hint="eastAsia"/>
          <w:sz w:val="24"/>
          <w:szCs w:val="24"/>
        </w:rPr>
      </w:pPr>
      <w:bookmarkStart w:id="62" w:name="_Toc5428"/>
      <w:bookmarkStart w:id="63" w:name="_Toc6236"/>
      <w:bookmarkStart w:id="64" w:name="_Toc27103"/>
      <w:bookmarkStart w:id="65" w:name="_Toc9749"/>
      <w:bookmarkStart w:id="66" w:name="_Toc18238"/>
      <w:bookmarkStart w:id="67" w:name="_Toc9072"/>
      <w:bookmarkStart w:id="68" w:name="_Toc2041"/>
      <w:bookmarkStart w:id="69" w:name="_Toc7829"/>
      <w:bookmarkStart w:id="70" w:name="_Toc18062"/>
      <w:r>
        <w:rPr>
          <w:rFonts w:hint="eastAsia"/>
          <w:sz w:val="24"/>
          <w:szCs w:val="24"/>
        </w:rPr>
        <w:t>学习结果</w:t>
      </w:r>
      <w:bookmarkEnd w:id="62"/>
      <w:bookmarkEnd w:id="63"/>
      <w:r>
        <w:rPr>
          <w:rFonts w:hint="eastAsia"/>
          <w:sz w:val="24"/>
          <w:szCs w:val="24"/>
        </w:rPr>
        <w:t>查询</w:t>
      </w:r>
      <w:bookmarkEnd w:id="64"/>
      <w:bookmarkEnd w:id="65"/>
      <w:bookmarkEnd w:id="66"/>
      <w:bookmarkEnd w:id="67"/>
      <w:bookmarkEnd w:id="68"/>
      <w:bookmarkEnd w:id="69"/>
      <w:bookmarkEnd w:id="7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left"/>
        <w:textAlignment w:val="auto"/>
        <w:rPr>
          <w:rFonts w:hint="eastAsia"/>
          <w:szCs w:val="21"/>
        </w:rPr>
      </w:pPr>
      <w:r>
        <w:rPr>
          <w:rFonts w:hint="eastAsia" w:ascii="宋体" w:hAnsi="宋体" w:eastAsia="宋体" w:cs="宋体"/>
          <w:sz w:val="22"/>
          <w:szCs w:val="22"/>
        </w:rPr>
        <w:t>查询全员培训的学习记录，如通过课程学习，点击“成绩打印”可以打印学习证明。</w:t>
      </w:r>
      <w:r>
        <w:drawing>
          <wp:inline distT="0" distB="0" distL="114300" distR="114300">
            <wp:extent cx="5272405" cy="2566035"/>
            <wp:effectExtent l="0" t="0" r="4445" b="571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0" w:firstLineChars="200"/>
        <w:jc w:val="center"/>
        <w:textAlignment w:val="auto"/>
        <w:outlineLvl w:val="9"/>
        <w:rPr>
          <w:rFonts w:hint="eastAsia" w:ascii="宋体" w:hAnsi="宋体" w:eastAsia="宋体" w:cs="宋体"/>
          <w:kern w:val="0"/>
          <w:sz w:val="20"/>
          <w:szCs w:val="20"/>
          <w:lang w:eastAsia="zh-CN"/>
        </w:rPr>
      </w:pPr>
      <w:bookmarkStart w:id="71" w:name="_Toc31122"/>
      <w:bookmarkStart w:id="72" w:name="_Toc29752"/>
      <w:r>
        <w:rPr>
          <w:rFonts w:hint="eastAsia" w:ascii="宋体" w:hAnsi="宋体" w:eastAsia="宋体" w:cs="宋体"/>
          <w:kern w:val="0"/>
          <w:sz w:val="20"/>
          <w:szCs w:val="20"/>
        </w:rPr>
        <w:t>图　</w:t>
      </w:r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培训</w:t>
      </w:r>
      <w:r>
        <w:rPr>
          <w:rFonts w:hint="eastAsia" w:ascii="宋体" w:hAnsi="宋体" w:eastAsia="宋体" w:cs="宋体"/>
          <w:kern w:val="0"/>
          <w:sz w:val="20"/>
          <w:szCs w:val="20"/>
        </w:rPr>
        <w:t>结果</w:t>
      </w:r>
      <w:bookmarkEnd w:id="71"/>
      <w:bookmarkEnd w:id="72"/>
      <w:r>
        <w:rPr>
          <w:rFonts w:hint="eastAsia" w:ascii="宋体" w:hAnsi="宋体" w:cs="宋体"/>
          <w:kern w:val="0"/>
          <w:sz w:val="20"/>
          <w:szCs w:val="20"/>
          <w:lang w:val="en-US" w:eastAsia="zh-CN"/>
        </w:rPr>
        <w:t>查询</w:t>
      </w:r>
    </w:p>
    <w:p>
      <w:pPr>
        <w:pStyle w:val="2"/>
        <w:numPr>
          <w:ilvl w:val="0"/>
          <w:numId w:val="4"/>
        </w:numPr>
        <w:ind w:left="0" w:leftChars="0" w:firstLine="0" w:firstLineChars="0"/>
        <w:rPr>
          <w:rFonts w:hint="eastAsia"/>
          <w:sz w:val="24"/>
          <w:szCs w:val="24"/>
        </w:rPr>
      </w:pPr>
      <w:bookmarkStart w:id="73" w:name="_Toc25065"/>
      <w:bookmarkStart w:id="74" w:name="_Toc10955"/>
      <w:bookmarkStart w:id="75" w:name="_Toc22136"/>
      <w:bookmarkStart w:id="76" w:name="_Toc7620"/>
      <w:bookmarkStart w:id="77" w:name="_Toc27817"/>
      <w:bookmarkStart w:id="78" w:name="_Toc18611"/>
      <w:bookmarkStart w:id="79" w:name="_Toc10736"/>
      <w:bookmarkStart w:id="80" w:name="_Toc13854"/>
      <w:bookmarkStart w:id="81" w:name="_Toc21665"/>
      <w:r>
        <w:rPr>
          <w:rFonts w:hint="eastAsia"/>
          <w:sz w:val="24"/>
          <w:szCs w:val="24"/>
        </w:rPr>
        <w:t>年度</w:t>
      </w:r>
      <w:bookmarkEnd w:id="73"/>
      <w:r>
        <w:rPr>
          <w:rFonts w:hint="eastAsia"/>
          <w:sz w:val="24"/>
          <w:szCs w:val="24"/>
        </w:rPr>
        <w:t>学时查询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查询广州市教师继续教育网内学习的年度学时数据情况。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widowControl/>
        <w:jc w:val="left"/>
        <w:rPr>
          <w:rFonts w:hint="eastAsia"/>
        </w:rPr>
      </w:pPr>
      <w:r>
        <w:drawing>
          <wp:inline distT="0" distB="0" distL="114300" distR="114300">
            <wp:extent cx="5266690" cy="2650490"/>
            <wp:effectExtent l="0" t="0" r="10160" b="16510"/>
            <wp:docPr id="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firstLine="0" w:firstLineChars="0"/>
        <w:rPr>
          <w:rFonts w:hint="eastAsia"/>
          <w:sz w:val="24"/>
          <w:szCs w:val="24"/>
        </w:rPr>
      </w:pPr>
      <w:bookmarkStart w:id="82" w:name="_Toc26477"/>
      <w:bookmarkStart w:id="83" w:name="_Toc9252"/>
      <w:bookmarkStart w:id="84" w:name="_Toc27824"/>
      <w:bookmarkStart w:id="85" w:name="_Toc24546"/>
      <w:bookmarkStart w:id="86" w:name="_Toc9953"/>
      <w:bookmarkStart w:id="87" w:name="_Toc7800"/>
      <w:bookmarkStart w:id="88" w:name="_Toc2046"/>
      <w:bookmarkStart w:id="89" w:name="_Toc21806"/>
      <w:bookmarkStart w:id="90" w:name="_Toc24763"/>
      <w:r>
        <w:rPr>
          <w:rFonts w:hint="eastAsia"/>
          <w:sz w:val="24"/>
          <w:szCs w:val="24"/>
        </w:rPr>
        <w:t>周期</w:t>
      </w:r>
      <w:bookmarkEnd w:id="82"/>
      <w:r>
        <w:rPr>
          <w:rFonts w:hint="eastAsia"/>
          <w:sz w:val="24"/>
          <w:szCs w:val="24"/>
        </w:rPr>
        <w:t>学时查询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此栏目教师可选择周期</w:t>
      </w:r>
      <w:r>
        <w:rPr>
          <w:rFonts w:hint="eastAsia" w:ascii="宋体" w:hAnsi="宋体" w:eastAsia="宋体" w:cs="宋体"/>
          <w:sz w:val="22"/>
          <w:szCs w:val="22"/>
        </w:rPr>
        <w:t>查询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“</w:t>
      </w:r>
      <w:r>
        <w:rPr>
          <w:rFonts w:hint="eastAsia" w:ascii="宋体" w:hAnsi="宋体" w:eastAsia="宋体" w:cs="宋体"/>
          <w:sz w:val="22"/>
          <w:szCs w:val="22"/>
        </w:rPr>
        <w:t>周期学时数据情况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”</w:t>
      </w:r>
      <w:r>
        <w:rPr>
          <w:rFonts w:hint="eastAsia" w:ascii="宋体" w:hAnsi="宋体" w:eastAsia="宋体" w:cs="宋体"/>
          <w:sz w:val="22"/>
          <w:szCs w:val="22"/>
        </w:rPr>
        <w:t>。</w:t>
      </w:r>
    </w:p>
    <w:p>
      <w:pPr>
        <w:pStyle w:val="7"/>
        <w:ind w:left="0" w:leftChars="0" w:firstLine="0" w:firstLineChars="0"/>
        <w:rPr>
          <w:rFonts w:hint="eastAsia"/>
          <w:szCs w:val="21"/>
        </w:rPr>
      </w:pPr>
      <w:r>
        <w:drawing>
          <wp:inline distT="0" distB="0" distL="114300" distR="114300">
            <wp:extent cx="5273675" cy="3105150"/>
            <wp:effectExtent l="0" t="0" r="3175" b="0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bookmarkStart w:id="91" w:name="_Toc9586"/>
      <w:bookmarkStart w:id="92" w:name="_Toc24661"/>
      <w:bookmarkStart w:id="93" w:name="_Toc22105"/>
      <w:bookmarkStart w:id="94" w:name="_Toc19747"/>
      <w:bookmarkStart w:id="95" w:name="_Toc28407"/>
      <w:bookmarkStart w:id="96" w:name="_Toc1165"/>
      <w:r>
        <w:rPr>
          <w:rFonts w:hint="eastAsia"/>
          <w:sz w:val="24"/>
          <w:szCs w:val="24"/>
          <w:lang w:val="en-US" w:eastAsia="zh-CN"/>
        </w:rPr>
        <w:t>年度验证结果</w:t>
      </w:r>
      <w:bookmarkEnd w:id="91"/>
      <w:bookmarkEnd w:id="92"/>
      <w:bookmarkEnd w:id="93"/>
      <w:bookmarkEnd w:id="94"/>
      <w:bookmarkEnd w:id="95"/>
      <w:bookmarkEnd w:id="96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42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根据《广州市教育局关于做好2018年度中小学教师继续教育学时验证工作的通知》〔穗教评估（2018）34号〕的文件精神，中小学教师继续教育学时年度验证统一在“广州市中小学教师继续教育网综合平台”（以下简称“继教网”）上进行。上表可分别查核2012年度至今的学时年度验证结果及学时明细记录，其中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8" w:lineRule="atLeast"/>
        <w:ind w:left="0" w:right="0" w:firstLine="42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2012年度-2018年度的学时验证结果及人社历史数据由“广州市专业技术人员继续教育管理系统”（以下简称“人社系统”）提供，“继教网”仅作展示。</w:t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3040" cy="3058795"/>
            <wp:effectExtent l="0" t="0" r="3810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70500" cy="1340485"/>
            <wp:effectExtent l="0" t="0" r="6350" b="1206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7" w:name="_GoBack"/>
      <w:bookmarkEnd w:id="97"/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5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8A021E"/>
    <w:multiLevelType w:val="singleLevel"/>
    <w:tmpl w:val="B68A021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D6208DF"/>
    <w:multiLevelType w:val="multilevel"/>
    <w:tmpl w:val="0D6208DF"/>
    <w:lvl w:ilvl="0" w:tentative="0">
      <w:start w:val="1"/>
      <w:numFmt w:val="upperLetter"/>
      <w:lvlText w:val="%1.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80BE326"/>
    <w:multiLevelType w:val="singleLevel"/>
    <w:tmpl w:val="280BE326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F8C3D55"/>
    <w:multiLevelType w:val="multilevel"/>
    <w:tmpl w:val="5F8C3D55"/>
    <w:lvl w:ilvl="0" w:tentative="0">
      <w:start w:val="1"/>
      <w:numFmt w:val="chineseCountingThousand"/>
      <w:lvlText w:val="%1、"/>
      <w:lvlJc w:val="left"/>
      <w:pPr>
        <w:ind w:left="777" w:hanging="420"/>
      </w:pPr>
    </w:lvl>
    <w:lvl w:ilvl="1" w:tentative="0">
      <w:start w:val="1"/>
      <w:numFmt w:val="lowerLetter"/>
      <w:lvlText w:val="%2)"/>
      <w:lvlJc w:val="left"/>
      <w:pPr>
        <w:ind w:left="1197" w:hanging="420"/>
      </w:pPr>
    </w:lvl>
    <w:lvl w:ilvl="2" w:tentative="0">
      <w:start w:val="1"/>
      <w:numFmt w:val="lowerRoman"/>
      <w:lvlText w:val="%3."/>
      <w:lvlJc w:val="right"/>
      <w:pPr>
        <w:ind w:left="1617" w:hanging="420"/>
      </w:pPr>
    </w:lvl>
    <w:lvl w:ilvl="3" w:tentative="0">
      <w:start w:val="1"/>
      <w:numFmt w:val="decimal"/>
      <w:lvlText w:val="%4."/>
      <w:lvlJc w:val="left"/>
      <w:pPr>
        <w:ind w:left="2037" w:hanging="420"/>
      </w:pPr>
    </w:lvl>
    <w:lvl w:ilvl="4" w:tentative="0">
      <w:start w:val="1"/>
      <w:numFmt w:val="lowerLetter"/>
      <w:lvlText w:val="%5)"/>
      <w:lvlJc w:val="left"/>
      <w:pPr>
        <w:ind w:left="2457" w:hanging="420"/>
      </w:pPr>
    </w:lvl>
    <w:lvl w:ilvl="5" w:tentative="0">
      <w:start w:val="1"/>
      <w:numFmt w:val="lowerRoman"/>
      <w:lvlText w:val="%6."/>
      <w:lvlJc w:val="right"/>
      <w:pPr>
        <w:ind w:left="2877" w:hanging="420"/>
      </w:pPr>
    </w:lvl>
    <w:lvl w:ilvl="6" w:tentative="0">
      <w:start w:val="1"/>
      <w:numFmt w:val="decimal"/>
      <w:lvlText w:val="%7."/>
      <w:lvlJc w:val="left"/>
      <w:pPr>
        <w:ind w:left="3297" w:hanging="420"/>
      </w:pPr>
    </w:lvl>
    <w:lvl w:ilvl="7" w:tentative="0">
      <w:start w:val="1"/>
      <w:numFmt w:val="lowerLetter"/>
      <w:lvlText w:val="%8)"/>
      <w:lvlJc w:val="left"/>
      <w:pPr>
        <w:ind w:left="3717" w:hanging="420"/>
      </w:pPr>
    </w:lvl>
    <w:lvl w:ilvl="8" w:tentative="0">
      <w:start w:val="1"/>
      <w:numFmt w:val="lowerRoman"/>
      <w:lvlText w:val="%9."/>
      <w:lvlJc w:val="right"/>
      <w:pPr>
        <w:ind w:left="4137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82A1B"/>
    <w:rsid w:val="43982A1B"/>
    <w:rsid w:val="695419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spacing w:before="240" w:beforeLines="0" w:after="60" w:afterLines="0"/>
      <w:outlineLvl w:val="2"/>
    </w:pPr>
    <w:rPr>
      <w:rFonts w:ascii="Cambria" w:hAnsi="Cambria" w:eastAsia="宋体"/>
      <w:b/>
      <w:bCs/>
      <w:sz w:val="26"/>
      <w:szCs w:val="26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210" w:firstLineChars="100"/>
    </w:pPr>
  </w:style>
  <w:style w:type="paragraph" w:styleId="4">
    <w:name w:val="Normal (Web)"/>
    <w:basedOn w:val="1"/>
    <w:qFormat/>
    <w:uiPriority w:val="0"/>
    <w:rPr>
      <w:sz w:val="24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  <w:style w:type="paragraph" w:customStyle="1" w:styleId="8">
    <w:name w:val="_Style 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2020-02-17T07:03:00Z</dcterms:created>
  <dc:creator>suk_psycho</dc:creator>
  <cp:lastModifiedBy>suk_psycho</cp:lastModifiedBy>
  <dcterms:modified xsi:type="dcterms:W3CDTF">2020-02-17T07:20:54Z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